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693" w14:textId="77777777" w:rsidR="003F1C23" w:rsidRDefault="00B561C7">
      <w:r w:rsidRPr="00B561C7">
        <w:rPr>
          <w:noProof/>
        </w:rPr>
        <w:drawing>
          <wp:inline distT="0" distB="0" distL="0" distR="0" wp14:anchorId="26EFC00C" wp14:editId="56A7454E">
            <wp:extent cx="48482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1171575"/>
                    </a:xfrm>
                    <a:prstGeom prst="rect">
                      <a:avLst/>
                    </a:prstGeom>
                    <a:noFill/>
                    <a:ln>
                      <a:noFill/>
                    </a:ln>
                  </pic:spPr>
                </pic:pic>
              </a:graphicData>
            </a:graphic>
          </wp:inline>
        </w:drawing>
      </w:r>
    </w:p>
    <w:p w14:paraId="3AEBBAC8" w14:textId="77777777" w:rsidR="00B561C7" w:rsidRDefault="00B561C7" w:rsidP="00B561C7">
      <w:pPr>
        <w:rPr>
          <w:rFonts w:eastAsia="Calibri"/>
          <w:iCs/>
          <w:sz w:val="24"/>
          <w:szCs w:val="24"/>
        </w:rPr>
      </w:pPr>
      <w:r w:rsidRPr="00E31888">
        <w:rPr>
          <w:rFonts w:eastAsia="Calibri"/>
          <w:iCs/>
          <w:sz w:val="24"/>
          <w:szCs w:val="24"/>
          <w:highlight w:val="yellow"/>
        </w:rPr>
        <w:t xml:space="preserve">NOTE: Advanced notice to HDM providers is required by Case Management when members will transition to </w:t>
      </w:r>
      <w:r w:rsidRPr="00E31888">
        <w:rPr>
          <w:rFonts w:eastAsia="Calibri"/>
          <w:iCs/>
          <w:color w:val="FF0000"/>
          <w:sz w:val="24"/>
          <w:szCs w:val="24"/>
          <w:highlight w:val="yellow"/>
        </w:rPr>
        <w:t xml:space="preserve">Alternative Living Services (ALS) </w:t>
      </w:r>
      <w:r w:rsidRPr="00E31888">
        <w:rPr>
          <w:rFonts w:eastAsia="Calibri"/>
          <w:iCs/>
          <w:sz w:val="24"/>
          <w:szCs w:val="24"/>
          <w:highlight w:val="yellow"/>
        </w:rPr>
        <w:t xml:space="preserve">and discharge from the HDM option. Collaboration with the HDM provider will ensure payment for meals delivered has paid based on consumption before </w:t>
      </w:r>
      <w:r w:rsidRPr="00E31888">
        <w:rPr>
          <w:rFonts w:eastAsia="Calibri"/>
          <w:iCs/>
          <w:color w:val="FF0000"/>
          <w:sz w:val="24"/>
          <w:szCs w:val="24"/>
          <w:highlight w:val="yellow"/>
        </w:rPr>
        <w:t>ALS</w:t>
      </w:r>
      <w:r w:rsidRPr="00E31888">
        <w:rPr>
          <w:rFonts w:eastAsia="Calibri"/>
          <w:iCs/>
          <w:sz w:val="24"/>
          <w:szCs w:val="24"/>
          <w:highlight w:val="yellow"/>
        </w:rPr>
        <w:t xml:space="preserve"> can begin. (</w:t>
      </w:r>
      <w:r w:rsidRPr="00E31888">
        <w:rPr>
          <w:rFonts w:eastAsia="Calibri"/>
          <w:iCs/>
          <w:color w:val="FF0000"/>
          <w:sz w:val="24"/>
          <w:szCs w:val="24"/>
          <w:highlight w:val="yellow"/>
        </w:rPr>
        <w:t>4/2021</w:t>
      </w:r>
      <w:r w:rsidRPr="00E31888">
        <w:rPr>
          <w:rFonts w:eastAsia="Calibri"/>
          <w:iCs/>
          <w:sz w:val="24"/>
          <w:szCs w:val="24"/>
          <w:highlight w:val="yellow"/>
        </w:rPr>
        <w:t>)</w:t>
      </w:r>
    </w:p>
    <w:p w14:paraId="00695B49" w14:textId="77777777" w:rsidR="00751D5C" w:rsidRDefault="00751D5C" w:rsidP="00B561C7">
      <w:pPr>
        <w:rPr>
          <w:rFonts w:eastAsia="Calibri"/>
          <w:iCs/>
          <w:sz w:val="24"/>
          <w:szCs w:val="24"/>
        </w:rPr>
      </w:pPr>
    </w:p>
    <w:p w14:paraId="64DF9DB7" w14:textId="77777777" w:rsidR="003D7FC5" w:rsidRDefault="003D7FC5" w:rsidP="003D7FC5">
      <w:r w:rsidRPr="00B561C7">
        <w:rPr>
          <w:noProof/>
        </w:rPr>
        <w:drawing>
          <wp:inline distT="0" distB="0" distL="0" distR="0" wp14:anchorId="6A1A9CF9" wp14:editId="1A04DBEB">
            <wp:extent cx="471487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133475"/>
                    </a:xfrm>
                    <a:prstGeom prst="rect">
                      <a:avLst/>
                    </a:prstGeom>
                    <a:noFill/>
                    <a:ln>
                      <a:noFill/>
                    </a:ln>
                  </pic:spPr>
                </pic:pic>
              </a:graphicData>
            </a:graphic>
          </wp:inline>
        </w:drawing>
      </w:r>
    </w:p>
    <w:p w14:paraId="71B25709" w14:textId="77777777" w:rsidR="003D7FC5" w:rsidRDefault="003D7FC5" w:rsidP="003D7FC5">
      <w:pPr>
        <w:ind w:left="1440"/>
        <w:contextualSpacing/>
        <w:rPr>
          <w:rFonts w:eastAsia="Calibri"/>
          <w:iCs/>
          <w:sz w:val="24"/>
          <w:szCs w:val="24"/>
        </w:rPr>
      </w:pPr>
      <w:r w:rsidRPr="00E31888">
        <w:rPr>
          <w:rFonts w:eastAsia="Calibri"/>
          <w:iCs/>
          <w:sz w:val="24"/>
          <w:szCs w:val="24"/>
          <w:highlight w:val="yellow"/>
        </w:rPr>
        <w:t xml:space="preserve">NOTE: *Advanced notice to HDM providers is required when transitioning to </w:t>
      </w:r>
      <w:r w:rsidRPr="003D7FC5">
        <w:rPr>
          <w:rFonts w:eastAsia="Calibri"/>
          <w:iCs/>
          <w:color w:val="FF0000"/>
          <w:sz w:val="24"/>
          <w:szCs w:val="24"/>
          <w:highlight w:val="yellow"/>
        </w:rPr>
        <w:t>SFC</w:t>
      </w:r>
      <w:r w:rsidRPr="00E31888">
        <w:rPr>
          <w:rFonts w:eastAsia="Calibri"/>
          <w:iCs/>
          <w:color w:val="FF0000"/>
          <w:sz w:val="24"/>
          <w:szCs w:val="24"/>
          <w:highlight w:val="yellow"/>
        </w:rPr>
        <w:t>/</w:t>
      </w:r>
      <w:r w:rsidRPr="003D7FC5">
        <w:rPr>
          <w:rFonts w:eastAsia="Calibri"/>
          <w:iCs/>
          <w:sz w:val="24"/>
          <w:szCs w:val="24"/>
          <w:highlight w:val="yellow"/>
        </w:rPr>
        <w:t>ALS</w:t>
      </w:r>
      <w:r w:rsidRPr="00E31888">
        <w:rPr>
          <w:rFonts w:eastAsia="Calibri"/>
          <w:iCs/>
          <w:sz w:val="24"/>
          <w:szCs w:val="24"/>
          <w:highlight w:val="yellow"/>
        </w:rPr>
        <w:t xml:space="preserve"> and discharging from the HDM option. Collaboration with the HDM provider will ensure </w:t>
      </w:r>
      <w:proofErr w:type="gramStart"/>
      <w:r w:rsidRPr="00E31888">
        <w:rPr>
          <w:rFonts w:eastAsia="Calibri"/>
          <w:iCs/>
          <w:sz w:val="24"/>
          <w:szCs w:val="24"/>
          <w:highlight w:val="yellow"/>
        </w:rPr>
        <w:t>payment  for</w:t>
      </w:r>
      <w:proofErr w:type="gramEnd"/>
      <w:r w:rsidRPr="00E31888">
        <w:rPr>
          <w:rFonts w:eastAsia="Calibri"/>
          <w:iCs/>
          <w:sz w:val="24"/>
          <w:szCs w:val="24"/>
          <w:highlight w:val="yellow"/>
        </w:rPr>
        <w:t xml:space="preserve"> meals delivered has paid based on consumption before </w:t>
      </w:r>
      <w:r w:rsidRPr="003D7FC5">
        <w:rPr>
          <w:rFonts w:eastAsia="Calibri"/>
          <w:iCs/>
          <w:color w:val="FF0000"/>
          <w:sz w:val="24"/>
          <w:szCs w:val="24"/>
          <w:highlight w:val="yellow"/>
        </w:rPr>
        <w:t>SFC</w:t>
      </w:r>
      <w:r w:rsidRPr="00E31888">
        <w:rPr>
          <w:rFonts w:eastAsia="Calibri"/>
          <w:iCs/>
          <w:color w:val="FF0000"/>
          <w:sz w:val="24"/>
          <w:szCs w:val="24"/>
          <w:highlight w:val="yellow"/>
        </w:rPr>
        <w:t>/</w:t>
      </w:r>
      <w:r w:rsidRPr="003D7FC5">
        <w:rPr>
          <w:rFonts w:eastAsia="Calibri"/>
          <w:iCs/>
          <w:sz w:val="24"/>
          <w:szCs w:val="24"/>
          <w:highlight w:val="yellow"/>
        </w:rPr>
        <w:t>ALS</w:t>
      </w:r>
      <w:r w:rsidRPr="00E31888">
        <w:rPr>
          <w:rFonts w:eastAsia="Calibri"/>
          <w:iCs/>
          <w:sz w:val="24"/>
          <w:szCs w:val="24"/>
          <w:highlight w:val="yellow"/>
        </w:rPr>
        <w:t xml:space="preserve"> can begin. (1/2021, </w:t>
      </w:r>
      <w:r w:rsidRPr="00E31888">
        <w:rPr>
          <w:rFonts w:eastAsia="Calibri"/>
          <w:iCs/>
          <w:color w:val="FF0000"/>
          <w:sz w:val="24"/>
          <w:szCs w:val="24"/>
          <w:highlight w:val="yellow"/>
        </w:rPr>
        <w:t>4/2021</w:t>
      </w:r>
      <w:r w:rsidRPr="00E31888">
        <w:rPr>
          <w:rFonts w:eastAsia="Calibri"/>
          <w:iCs/>
          <w:sz w:val="24"/>
          <w:szCs w:val="24"/>
          <w:highlight w:val="yellow"/>
        </w:rPr>
        <w:t>)</w:t>
      </w:r>
    </w:p>
    <w:p w14:paraId="61C1EF86" w14:textId="77777777" w:rsidR="00B561C7" w:rsidRDefault="00B561C7"/>
    <w:p w14:paraId="680EE03D" w14:textId="77777777" w:rsidR="003D7FC5" w:rsidRDefault="003D7FC5"/>
    <w:p w14:paraId="1DBD67F8" w14:textId="77777777" w:rsidR="003D7FC5" w:rsidRDefault="003D7FC5" w:rsidP="003D7FC5">
      <w:r w:rsidRPr="00751D5C">
        <w:rPr>
          <w:noProof/>
        </w:rPr>
        <w:drawing>
          <wp:inline distT="0" distB="0" distL="0" distR="0" wp14:anchorId="47758995" wp14:editId="032BF059">
            <wp:extent cx="474345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1152525"/>
                    </a:xfrm>
                    <a:prstGeom prst="rect">
                      <a:avLst/>
                    </a:prstGeom>
                    <a:noFill/>
                    <a:ln>
                      <a:noFill/>
                    </a:ln>
                  </pic:spPr>
                </pic:pic>
              </a:graphicData>
            </a:graphic>
          </wp:inline>
        </w:drawing>
      </w:r>
    </w:p>
    <w:p w14:paraId="064A467A" w14:textId="77777777" w:rsidR="003D7FC5" w:rsidRDefault="003D7FC5" w:rsidP="003D7FC5">
      <w:pPr>
        <w:ind w:left="1560"/>
        <w:contextualSpacing/>
        <w:rPr>
          <w:rFonts w:ascii="Times New Roman" w:eastAsia="Calibri" w:hAnsi="Times New Roman"/>
          <w:iCs/>
          <w:sz w:val="24"/>
          <w:szCs w:val="24"/>
        </w:rPr>
      </w:pPr>
      <w:r w:rsidRPr="00E31888">
        <w:rPr>
          <w:rFonts w:ascii="Times New Roman" w:eastAsia="Calibri" w:hAnsi="Times New Roman"/>
          <w:iCs/>
          <w:sz w:val="24"/>
          <w:szCs w:val="24"/>
          <w:highlight w:val="yellow"/>
        </w:rPr>
        <w:t xml:space="preserve">NOTE: Advanced notice to HDM providers is required by Case Management when members transition to Structured Family Care (SFC) </w:t>
      </w:r>
      <w:r w:rsidRPr="00E31888">
        <w:rPr>
          <w:rFonts w:ascii="Times New Roman" w:eastAsia="Calibri" w:hAnsi="Times New Roman"/>
          <w:iCs/>
          <w:color w:val="FF0000"/>
          <w:sz w:val="24"/>
          <w:szCs w:val="24"/>
          <w:highlight w:val="yellow"/>
        </w:rPr>
        <w:t xml:space="preserve">or Alternative Living Services (ALS) </w:t>
      </w:r>
      <w:r w:rsidRPr="00E31888">
        <w:rPr>
          <w:rFonts w:ascii="Times New Roman" w:eastAsia="Calibri" w:hAnsi="Times New Roman"/>
          <w:iCs/>
          <w:sz w:val="24"/>
          <w:szCs w:val="24"/>
          <w:highlight w:val="yellow"/>
        </w:rPr>
        <w:t>and discharge from the HDM option. Collaboration with the HDM provider will ensure payment for meals delivered has paid based on consumption before SFC</w:t>
      </w:r>
      <w:r w:rsidRPr="00E31888">
        <w:rPr>
          <w:rFonts w:ascii="Times New Roman" w:eastAsia="Calibri" w:hAnsi="Times New Roman"/>
          <w:iCs/>
          <w:color w:val="FF0000"/>
          <w:sz w:val="24"/>
          <w:szCs w:val="24"/>
          <w:highlight w:val="yellow"/>
        </w:rPr>
        <w:t>/ALS</w:t>
      </w:r>
      <w:r w:rsidRPr="00E31888">
        <w:rPr>
          <w:rFonts w:ascii="Times New Roman" w:eastAsia="Calibri" w:hAnsi="Times New Roman"/>
          <w:iCs/>
          <w:sz w:val="24"/>
          <w:szCs w:val="24"/>
          <w:highlight w:val="yellow"/>
        </w:rPr>
        <w:t xml:space="preserve"> can begin. (1/2021, </w:t>
      </w:r>
      <w:r w:rsidRPr="00E31888">
        <w:rPr>
          <w:rFonts w:ascii="Times New Roman" w:eastAsia="Calibri" w:hAnsi="Times New Roman"/>
          <w:iCs/>
          <w:color w:val="FF0000"/>
          <w:sz w:val="24"/>
          <w:szCs w:val="24"/>
          <w:highlight w:val="yellow"/>
        </w:rPr>
        <w:t>4/2021</w:t>
      </w:r>
      <w:r w:rsidRPr="00E31888">
        <w:rPr>
          <w:rFonts w:ascii="Times New Roman" w:eastAsia="Calibri" w:hAnsi="Times New Roman"/>
          <w:iCs/>
          <w:sz w:val="24"/>
          <w:szCs w:val="24"/>
          <w:highlight w:val="yellow"/>
        </w:rPr>
        <w:t>)</w:t>
      </w:r>
    </w:p>
    <w:p w14:paraId="6A7E5E54" w14:textId="77777777" w:rsidR="003D7FC5" w:rsidRPr="006A1A8C" w:rsidRDefault="003D7FC5" w:rsidP="003D7FC5">
      <w:pPr>
        <w:ind w:left="1560"/>
        <w:contextualSpacing/>
        <w:rPr>
          <w:rFonts w:ascii="Times New Roman" w:eastAsia="Calibri" w:hAnsi="Times New Roman"/>
          <w:iCs/>
          <w:sz w:val="24"/>
          <w:szCs w:val="24"/>
        </w:rPr>
      </w:pPr>
    </w:p>
    <w:p w14:paraId="0CF5BC92" w14:textId="77777777" w:rsidR="003D7FC5" w:rsidRDefault="003D7FC5"/>
    <w:p w14:paraId="4A4FF0C6" w14:textId="77777777" w:rsidR="00B561C7" w:rsidRDefault="00B561C7">
      <w:r w:rsidRPr="00B561C7">
        <w:rPr>
          <w:noProof/>
        </w:rPr>
        <w:lastRenderedPageBreak/>
        <w:drawing>
          <wp:inline distT="0" distB="0" distL="0" distR="0" wp14:anchorId="47B04A4B" wp14:editId="511EEF6C">
            <wp:extent cx="47434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1152525"/>
                    </a:xfrm>
                    <a:prstGeom prst="rect">
                      <a:avLst/>
                    </a:prstGeom>
                    <a:noFill/>
                    <a:ln>
                      <a:noFill/>
                    </a:ln>
                  </pic:spPr>
                </pic:pic>
              </a:graphicData>
            </a:graphic>
          </wp:inline>
        </w:drawing>
      </w:r>
    </w:p>
    <w:p w14:paraId="77D4BD8F" w14:textId="77777777" w:rsidR="00B561C7" w:rsidRDefault="00B561C7" w:rsidP="00B561C7">
      <w:pPr>
        <w:tabs>
          <w:tab w:val="left" w:pos="720"/>
          <w:tab w:val="left" w:pos="1620"/>
          <w:tab w:val="left" w:pos="2160"/>
          <w:tab w:val="left" w:pos="2520"/>
          <w:tab w:val="left" w:pos="3060"/>
          <w:tab w:val="left" w:pos="3600"/>
          <w:tab w:val="left" w:pos="4680"/>
          <w:tab w:val="left" w:pos="5220"/>
        </w:tabs>
        <w:suppressAutoHyphens/>
        <w:spacing w:before="240"/>
        <w:ind w:left="2700"/>
        <w:rPr>
          <w:rStyle w:val="a"/>
          <w:color w:val="000000"/>
          <w:sz w:val="24"/>
        </w:rPr>
      </w:pPr>
      <w:r w:rsidRPr="00E31888">
        <w:rPr>
          <w:noProof/>
          <w:highlight w:val="yellow"/>
        </w:rPr>
        <mc:AlternateContent>
          <mc:Choice Requires="wps">
            <w:drawing>
              <wp:anchor distT="0" distB="0" distL="114300" distR="114300" simplePos="0" relativeHeight="251659264" behindDoc="0" locked="0" layoutInCell="0" allowOverlap="1" wp14:anchorId="2AD3DA5A" wp14:editId="1C6C798D">
                <wp:simplePos x="0" y="0"/>
                <wp:positionH relativeFrom="column">
                  <wp:posOffset>-274320</wp:posOffset>
                </wp:positionH>
                <wp:positionV relativeFrom="paragraph">
                  <wp:posOffset>457200</wp:posOffset>
                </wp:positionV>
                <wp:extent cx="274320" cy="365760"/>
                <wp:effectExtent l="1905" t="0" r="0" b="0"/>
                <wp:wrapNone/>
                <wp:docPr id="9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450E" id="Rectangle 177" o:spid="_x0000_s1026" style="position:absolute;margin-left:-21.6pt;margin-top:36pt;width:21.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" o:allowincell="f" stroked="f"/>
            </w:pict>
          </mc:Fallback>
        </mc:AlternateContent>
      </w:r>
      <w:r w:rsidRPr="00E31888">
        <w:rPr>
          <w:rStyle w:val="a"/>
          <w:color w:val="000000"/>
          <w:sz w:val="24"/>
          <w:highlight w:val="yellow"/>
        </w:rPr>
        <w:t xml:space="preserve">A subcontractor is not approved for placement of CCSP/SOURCE members until the Division has notified the Area Agency on Aging, in writing, that the home has been registered. </w:t>
      </w:r>
      <w:r w:rsidRPr="00E31888">
        <w:rPr>
          <w:rStyle w:val="a"/>
          <w:b/>
          <w:color w:val="000000"/>
          <w:sz w:val="24"/>
          <w:highlight w:val="yellow"/>
        </w:rPr>
        <w:t xml:space="preserve">The Division reserves the right to delay or deny registration of any subcontractor. </w:t>
      </w:r>
      <w:r w:rsidRPr="00E31888">
        <w:rPr>
          <w:rStyle w:val="a"/>
          <w:b/>
          <w:color w:val="FF0000"/>
          <w:sz w:val="24"/>
          <w:highlight w:val="yellow"/>
        </w:rPr>
        <w:t>The Division reserves the right to terminate a contract between a provider agency and a home(s). The Division will review the documentation submitted by a home and issue its decision thereafter.</w:t>
      </w:r>
    </w:p>
    <w:p w14:paraId="37790ACA" w14:textId="77777777" w:rsidR="00B561C7" w:rsidRDefault="00B561C7"/>
    <w:p w14:paraId="399FBA54" w14:textId="77777777" w:rsidR="00B561C7" w:rsidRDefault="00B561C7">
      <w:r w:rsidRPr="00B561C7">
        <w:rPr>
          <w:noProof/>
        </w:rPr>
        <w:drawing>
          <wp:inline distT="0" distB="0" distL="0" distR="0" wp14:anchorId="087FDB4F" wp14:editId="2C0D2B4F">
            <wp:extent cx="45910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095375"/>
                    </a:xfrm>
                    <a:prstGeom prst="rect">
                      <a:avLst/>
                    </a:prstGeom>
                    <a:noFill/>
                    <a:ln>
                      <a:noFill/>
                    </a:ln>
                  </pic:spPr>
                </pic:pic>
              </a:graphicData>
            </a:graphic>
          </wp:inline>
        </w:drawing>
      </w:r>
    </w:p>
    <w:p w14:paraId="3FBC0547" w14:textId="77777777" w:rsidR="00B561C7" w:rsidRPr="00E31888" w:rsidRDefault="00B561C7" w:rsidP="00B561C7">
      <w:pPr>
        <w:ind w:left="1440"/>
        <w:rPr>
          <w:color w:val="FF0000"/>
          <w:sz w:val="24"/>
          <w:szCs w:val="24"/>
          <w:highlight w:val="yellow"/>
        </w:rPr>
      </w:pPr>
      <w:bookmarkStart w:id="0" w:name="_MailOriginal"/>
      <w:r w:rsidRPr="00E31888">
        <w:rPr>
          <w:color w:val="FF0000"/>
          <w:sz w:val="24"/>
          <w:szCs w:val="24"/>
          <w:highlight w:val="yellow"/>
        </w:rPr>
        <w:t xml:space="preserve">NOTE: In December 2016, the 114th US Congress enacted the 21st Century CURES Act. Section 12006 of the Act requires States to implement Electronic Visit Verification (EVV) for Medicaid-financed Personal Care Services. The mandate contributes to Georgia Medicaid’s mission of providing access to affordable, quality health care services for Medicaid Members. EVV will help to reduce billing errors and improve claims payment accuracy as well as reduce Medicaid fraud, </w:t>
      </w:r>
      <w:proofErr w:type="gramStart"/>
      <w:r w:rsidRPr="00E31888">
        <w:rPr>
          <w:color w:val="FF0000"/>
          <w:sz w:val="24"/>
          <w:szCs w:val="24"/>
          <w:highlight w:val="yellow"/>
        </w:rPr>
        <w:t>waste</w:t>
      </w:r>
      <w:proofErr w:type="gramEnd"/>
      <w:r w:rsidRPr="00E31888">
        <w:rPr>
          <w:color w:val="FF0000"/>
          <w:sz w:val="24"/>
          <w:szCs w:val="24"/>
          <w:highlight w:val="yellow"/>
        </w:rPr>
        <w:t xml:space="preserve"> and abuse by verifying services were rendered.</w:t>
      </w:r>
    </w:p>
    <w:p w14:paraId="2B2349B0" w14:textId="77777777" w:rsidR="00B561C7" w:rsidRPr="00E31888" w:rsidRDefault="00B561C7" w:rsidP="00B561C7">
      <w:pPr>
        <w:ind w:left="1440"/>
        <w:rPr>
          <w:color w:val="FF0000"/>
          <w:sz w:val="24"/>
          <w:szCs w:val="24"/>
          <w:highlight w:val="yellow"/>
        </w:rPr>
      </w:pPr>
    </w:p>
    <w:p w14:paraId="03CEB710" w14:textId="77777777" w:rsidR="00B561C7" w:rsidRPr="00E31888" w:rsidRDefault="00B561C7" w:rsidP="00B561C7">
      <w:pPr>
        <w:ind w:left="1440"/>
        <w:rPr>
          <w:color w:val="FF0000"/>
          <w:sz w:val="24"/>
          <w:szCs w:val="24"/>
          <w:highlight w:val="yellow"/>
        </w:rPr>
      </w:pPr>
      <w:r w:rsidRPr="00E31888">
        <w:rPr>
          <w:color w:val="FF0000"/>
          <w:sz w:val="24"/>
          <w:szCs w:val="24"/>
          <w:highlight w:val="yellow"/>
        </w:rPr>
        <w:t>Electronic Visit Verification (EVV) is a technology that automates the gathering of service information by capturing time, attendance, and care plan information entered by a home care worker at the point of care. EVV gives providers, care coordinators, and DCH access to service delivery information in real time to ensure there are no gaps in care throughout the entire course of the service plan. The technology contributes to Georgia Medicaid’s mission of providing access to affordable, quality health care services for Medicaid members.</w:t>
      </w:r>
    </w:p>
    <w:p w14:paraId="2C519749" w14:textId="77777777" w:rsidR="00B561C7" w:rsidRPr="00E31888" w:rsidRDefault="00B561C7" w:rsidP="00B561C7">
      <w:pPr>
        <w:ind w:left="1440"/>
        <w:rPr>
          <w:color w:val="FF0000"/>
          <w:sz w:val="24"/>
          <w:szCs w:val="24"/>
          <w:highlight w:val="yellow"/>
        </w:rPr>
      </w:pPr>
    </w:p>
    <w:p w14:paraId="5125A762" w14:textId="77777777" w:rsidR="00B561C7" w:rsidRPr="00E31888" w:rsidRDefault="00B561C7" w:rsidP="00B561C7">
      <w:pPr>
        <w:ind w:left="1440"/>
        <w:rPr>
          <w:color w:val="FF0000"/>
          <w:sz w:val="24"/>
          <w:szCs w:val="24"/>
          <w:highlight w:val="yellow"/>
        </w:rPr>
      </w:pPr>
      <w:r w:rsidRPr="00E31888">
        <w:rPr>
          <w:color w:val="FF0000"/>
          <w:sz w:val="24"/>
          <w:szCs w:val="24"/>
          <w:highlight w:val="yellow"/>
        </w:rPr>
        <w:lastRenderedPageBreak/>
        <w:t>Georgia DCH selected Tellus, </w:t>
      </w:r>
      <w:hyperlink r:id="rId10" w:history="1">
        <w:r w:rsidRPr="00E31888">
          <w:rPr>
            <w:rStyle w:val="Hyperlink"/>
            <w:color w:val="FF0000"/>
            <w:sz w:val="24"/>
            <w:szCs w:val="24"/>
            <w:highlight w:val="yellow"/>
          </w:rPr>
          <w:t>www.4tellus.com</w:t>
        </w:r>
      </w:hyperlink>
      <w:r w:rsidRPr="00E31888">
        <w:rPr>
          <w:color w:val="FF0000"/>
          <w:sz w:val="24"/>
          <w:szCs w:val="24"/>
          <w:highlight w:val="yellow"/>
        </w:rPr>
        <w:t>, as the State selected EVV system, The state selected system is available at no cost to the Personal Support Provider/Consumer Direct member. DCH allows the provider to either select their own EVV system or use the DCH system. However, the provider is responsible for any costs associated with using the alternate EVV system.</w:t>
      </w:r>
    </w:p>
    <w:p w14:paraId="2C93289A" w14:textId="77777777" w:rsidR="00B561C7" w:rsidRPr="00E31888" w:rsidRDefault="00B561C7" w:rsidP="00B561C7">
      <w:pPr>
        <w:ind w:left="1440"/>
        <w:rPr>
          <w:color w:val="FF0000"/>
          <w:sz w:val="24"/>
          <w:szCs w:val="24"/>
          <w:highlight w:val="yellow"/>
        </w:rPr>
      </w:pPr>
    </w:p>
    <w:p w14:paraId="24897928" w14:textId="77777777" w:rsidR="00B561C7" w:rsidRPr="008C30AE" w:rsidRDefault="00B561C7" w:rsidP="00B561C7">
      <w:pPr>
        <w:ind w:left="1440"/>
        <w:rPr>
          <w:color w:val="FF0000"/>
          <w:sz w:val="24"/>
          <w:szCs w:val="24"/>
        </w:rPr>
      </w:pPr>
      <w:r w:rsidRPr="00E31888">
        <w:rPr>
          <w:color w:val="FF0000"/>
          <w:sz w:val="24"/>
          <w:szCs w:val="24"/>
          <w:highlight w:val="yellow"/>
        </w:rPr>
        <w:t>It is the provider’s responsibility to ensure their selected EVV system meets both DCH and the 21</w:t>
      </w:r>
      <w:r w:rsidRPr="00E31888">
        <w:rPr>
          <w:color w:val="FF0000"/>
          <w:sz w:val="24"/>
          <w:szCs w:val="24"/>
          <w:highlight w:val="yellow"/>
          <w:vertAlign w:val="superscript"/>
        </w:rPr>
        <w:t>st</w:t>
      </w:r>
      <w:r w:rsidRPr="00E31888">
        <w:rPr>
          <w:color w:val="FF0000"/>
          <w:sz w:val="24"/>
          <w:szCs w:val="24"/>
          <w:highlight w:val="yellow"/>
        </w:rPr>
        <w:t xml:space="preserve"> Century Cures Act requirements. More information regarding system requirements, FAQs, EVV readiness and training can be obtained at </w:t>
      </w:r>
      <w:bookmarkEnd w:id="0"/>
      <w:r w:rsidRPr="00E31888">
        <w:rPr>
          <w:b/>
          <w:bCs/>
          <w:color w:val="FF0000"/>
          <w:sz w:val="24"/>
          <w:szCs w:val="24"/>
          <w:highlight w:val="yellow"/>
        </w:rPr>
        <w:fldChar w:fldCharType="begin"/>
      </w:r>
      <w:r w:rsidRPr="00E31888">
        <w:rPr>
          <w:b/>
          <w:bCs/>
          <w:color w:val="FF0000"/>
          <w:sz w:val="24"/>
          <w:szCs w:val="24"/>
          <w:highlight w:val="yellow"/>
        </w:rPr>
        <w:instrText xml:space="preserve"> HYPERLINK "https://gcc02.safelinks.protection.outlook.com/?url=https%3A%2F%2Fmedicaid.georgia.gov%2Fprograms%2Fall-programs%2Fgeorgia-electronic-visit-verification-evv%2Fevv-service-providers&amp;data=04%7C01%7Cjill.crump%40dch.ga.gov%7C03309eaddaf34d71912508d8d2a21bf3%7C512da10d071b4b948abc9ec4044d1516%7C0%7C0%7C637490940998231341%7CUnknown%7CTWFpbGZsb3d8eyJWIjoiMC4wLjAwMDAiLCJQIjoiV2luMzIiLCJBTiI6Ik1haWwiLCJXVCI6Mn0%3D%7C1000&amp;sdata=WfdQWAdQKyyAwED0DR6%2ByETke27TgzcZCXPoIIGaMTo%3D&amp;reserved=0" </w:instrText>
      </w:r>
      <w:r w:rsidRPr="00E31888">
        <w:rPr>
          <w:b/>
          <w:bCs/>
          <w:color w:val="FF0000"/>
          <w:sz w:val="24"/>
          <w:szCs w:val="24"/>
          <w:highlight w:val="yellow"/>
        </w:rPr>
        <w:fldChar w:fldCharType="separate"/>
      </w:r>
      <w:r w:rsidRPr="00E31888">
        <w:rPr>
          <w:rStyle w:val="Hyperlink"/>
          <w:b/>
          <w:bCs/>
          <w:color w:val="FF0000"/>
          <w:sz w:val="24"/>
          <w:szCs w:val="24"/>
          <w:highlight w:val="yellow"/>
        </w:rPr>
        <w:t>https://medicaid.georgia.gov/programs/all-programs/georgia-electronic-visit-verification-evv/evv-service-providers</w:t>
      </w:r>
      <w:r w:rsidRPr="00E31888">
        <w:rPr>
          <w:b/>
          <w:bCs/>
          <w:color w:val="FF0000"/>
          <w:sz w:val="24"/>
          <w:szCs w:val="24"/>
          <w:highlight w:val="yellow"/>
        </w:rPr>
        <w:fldChar w:fldCharType="end"/>
      </w:r>
      <w:r w:rsidRPr="00E31888">
        <w:rPr>
          <w:b/>
          <w:bCs/>
          <w:color w:val="FF0000"/>
          <w:sz w:val="24"/>
          <w:szCs w:val="24"/>
          <w:highlight w:val="yellow"/>
        </w:rPr>
        <w:t xml:space="preserve">. </w:t>
      </w:r>
      <w:r w:rsidRPr="00E31888">
        <w:rPr>
          <w:color w:val="FF0000"/>
          <w:sz w:val="24"/>
          <w:szCs w:val="24"/>
          <w:highlight w:val="yellow"/>
        </w:rPr>
        <w:t>The Georgia Department of Community Health (DCH) will implement EVV for Personal Support Services and Consumer Direction on July 1, 2021.</w:t>
      </w:r>
    </w:p>
    <w:p w14:paraId="48F9CBDF" w14:textId="77777777" w:rsidR="00B561C7" w:rsidRPr="00CC184C" w:rsidRDefault="00B561C7" w:rsidP="00B561C7">
      <w:pPr>
        <w:tabs>
          <w:tab w:val="left" w:pos="720"/>
          <w:tab w:val="left" w:pos="1440"/>
          <w:tab w:val="left" w:pos="1980"/>
          <w:tab w:val="left" w:pos="2340"/>
          <w:tab w:val="left" w:pos="2880"/>
          <w:tab w:val="left" w:pos="3420"/>
          <w:tab w:val="left" w:pos="3960"/>
        </w:tabs>
        <w:suppressAutoHyphens/>
        <w:ind w:left="1440"/>
        <w:rPr>
          <w:sz w:val="24"/>
        </w:rPr>
      </w:pPr>
    </w:p>
    <w:p w14:paraId="320F09C5" w14:textId="77777777" w:rsidR="00B561C7" w:rsidRDefault="00B561C7"/>
    <w:p w14:paraId="05F6A9A7" w14:textId="77777777" w:rsidR="00B561C7" w:rsidRDefault="00B561C7"/>
    <w:p w14:paraId="62D73266" w14:textId="77777777" w:rsidR="00B561C7" w:rsidRDefault="00B561C7">
      <w:r w:rsidRPr="00B561C7">
        <w:rPr>
          <w:noProof/>
        </w:rPr>
        <w:drawing>
          <wp:inline distT="0" distB="0" distL="0" distR="0" wp14:anchorId="104345BA" wp14:editId="7FD6A3BE">
            <wp:extent cx="4714875" cy="133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333500"/>
                    </a:xfrm>
                    <a:prstGeom prst="rect">
                      <a:avLst/>
                    </a:prstGeom>
                    <a:noFill/>
                    <a:ln>
                      <a:noFill/>
                    </a:ln>
                  </pic:spPr>
                </pic:pic>
              </a:graphicData>
            </a:graphic>
          </wp:inline>
        </w:drawing>
      </w:r>
    </w:p>
    <w:p w14:paraId="74B55EE0" w14:textId="77777777" w:rsidR="00B561C7" w:rsidRPr="00E31888" w:rsidRDefault="00B561C7" w:rsidP="00B561C7">
      <w:pPr>
        <w:numPr>
          <w:ilvl w:val="0"/>
          <w:numId w:val="1"/>
        </w:numPr>
        <w:tabs>
          <w:tab w:val="left" w:pos="1440"/>
        </w:tabs>
        <w:spacing w:after="0" w:line="240" w:lineRule="auto"/>
        <w:ind w:left="1440"/>
        <w:rPr>
          <w:sz w:val="24"/>
          <w:szCs w:val="24"/>
          <w:highlight w:val="yellow"/>
        </w:rPr>
      </w:pPr>
      <w:r w:rsidRPr="00E31888">
        <w:rPr>
          <w:sz w:val="24"/>
          <w:szCs w:val="24"/>
          <w:highlight w:val="yellow"/>
        </w:rPr>
        <w:t xml:space="preserve">Complete an initial </w:t>
      </w:r>
      <w:r w:rsidRPr="00E31888">
        <w:rPr>
          <w:strike/>
          <w:color w:val="FF0000"/>
          <w:sz w:val="24"/>
          <w:szCs w:val="24"/>
          <w:highlight w:val="yellow"/>
        </w:rPr>
        <w:t xml:space="preserve">and annual </w:t>
      </w:r>
      <w:r w:rsidRPr="00E31888">
        <w:rPr>
          <w:color w:val="FF0000"/>
          <w:sz w:val="24"/>
          <w:szCs w:val="24"/>
          <w:highlight w:val="yellow"/>
        </w:rPr>
        <w:t xml:space="preserve">physical that includes </w:t>
      </w:r>
      <w:r w:rsidRPr="00E31888">
        <w:rPr>
          <w:sz w:val="24"/>
          <w:szCs w:val="24"/>
          <w:highlight w:val="yellow"/>
        </w:rPr>
        <w:t xml:space="preserve">TB screening (documentation of TB screening in the past 3 months will be accepted) </w:t>
      </w:r>
      <w:r w:rsidRPr="00E31888">
        <w:rPr>
          <w:color w:val="FF0000"/>
          <w:sz w:val="24"/>
          <w:szCs w:val="24"/>
          <w:highlight w:val="yellow"/>
        </w:rPr>
        <w:t>and symptoms screening yearly per CDC guidelines, verified by the employer.</w:t>
      </w:r>
    </w:p>
    <w:p w14:paraId="6D059FD3" w14:textId="77777777" w:rsidR="00B561C7" w:rsidRPr="00E31888" w:rsidRDefault="00B561C7" w:rsidP="00B561C7">
      <w:pPr>
        <w:numPr>
          <w:ilvl w:val="0"/>
          <w:numId w:val="1"/>
        </w:numPr>
        <w:tabs>
          <w:tab w:val="left" w:pos="1440"/>
        </w:tabs>
        <w:spacing w:after="0" w:line="240" w:lineRule="auto"/>
        <w:ind w:left="1440"/>
        <w:rPr>
          <w:sz w:val="24"/>
          <w:szCs w:val="24"/>
          <w:highlight w:val="yellow"/>
        </w:rPr>
      </w:pPr>
      <w:r w:rsidRPr="00E31888">
        <w:rPr>
          <w:sz w:val="24"/>
          <w:szCs w:val="24"/>
          <w:highlight w:val="yellow"/>
        </w:rPr>
        <w:t xml:space="preserve">Understand and agree to comply with the Personal Support Consumer Directed Services option program requirements and policies, rights, and responsibilities and confidentiality requirements.  </w:t>
      </w:r>
    </w:p>
    <w:p w14:paraId="0BD14396" w14:textId="77777777" w:rsidR="00B561C7" w:rsidRPr="00E31888" w:rsidRDefault="00B561C7" w:rsidP="00B561C7">
      <w:pPr>
        <w:tabs>
          <w:tab w:val="left" w:pos="1440"/>
        </w:tabs>
        <w:spacing w:after="0" w:line="240" w:lineRule="auto"/>
        <w:ind w:left="1440"/>
        <w:rPr>
          <w:sz w:val="24"/>
          <w:szCs w:val="24"/>
          <w:highlight w:val="yellow"/>
        </w:rPr>
      </w:pPr>
    </w:p>
    <w:p w14:paraId="761A948D" w14:textId="77777777" w:rsidR="00B561C7" w:rsidRDefault="00B561C7" w:rsidP="00B561C7">
      <w:pPr>
        <w:rPr>
          <w:rFonts w:eastAsia="Calibri"/>
          <w:color w:val="FF0000"/>
          <w:sz w:val="24"/>
          <w:szCs w:val="24"/>
        </w:rPr>
      </w:pPr>
      <w:r w:rsidRPr="00E31888">
        <w:rPr>
          <w:rFonts w:eastAsia="Calibri"/>
          <w:color w:val="FF0000"/>
          <w:sz w:val="24"/>
          <w:szCs w:val="24"/>
          <w:highlight w:val="yellow"/>
        </w:rPr>
        <w:t>Effective July 1, 2019, all requests for approval of payment to a live-in family caregiver will be approved only under the Structured Family Caregiver program (see 1407). Approved relative caregiver cases (living outside of the member’s home) must be reaffirmed and approved annually. Rev. 04/2021.</w:t>
      </w:r>
      <w:r w:rsidRPr="00B561C7">
        <w:rPr>
          <w:rFonts w:eastAsia="Calibri"/>
          <w:color w:val="FF0000"/>
          <w:sz w:val="24"/>
          <w:szCs w:val="24"/>
        </w:rPr>
        <w:t xml:space="preserve"> </w:t>
      </w:r>
    </w:p>
    <w:p w14:paraId="74C1D4DD" w14:textId="77777777" w:rsidR="00B561C7" w:rsidRDefault="00B561C7" w:rsidP="00B561C7">
      <w:pPr>
        <w:tabs>
          <w:tab w:val="left" w:pos="1440"/>
        </w:tabs>
        <w:spacing w:after="0" w:line="240" w:lineRule="auto"/>
        <w:rPr>
          <w:sz w:val="24"/>
          <w:szCs w:val="24"/>
        </w:rPr>
      </w:pPr>
    </w:p>
    <w:p w14:paraId="4B101500" w14:textId="77777777" w:rsidR="003D7FC5" w:rsidRDefault="003D7FC5" w:rsidP="00B561C7">
      <w:pPr>
        <w:tabs>
          <w:tab w:val="left" w:pos="1440"/>
        </w:tabs>
        <w:spacing w:after="0" w:line="240" w:lineRule="auto"/>
        <w:rPr>
          <w:sz w:val="24"/>
          <w:szCs w:val="24"/>
        </w:rPr>
      </w:pPr>
    </w:p>
    <w:p w14:paraId="43027E70" w14:textId="77777777" w:rsidR="003D7FC5" w:rsidRDefault="003D7FC5" w:rsidP="00B561C7">
      <w:pPr>
        <w:tabs>
          <w:tab w:val="left" w:pos="1440"/>
        </w:tabs>
        <w:spacing w:after="0" w:line="240" w:lineRule="auto"/>
        <w:rPr>
          <w:sz w:val="24"/>
          <w:szCs w:val="24"/>
        </w:rPr>
      </w:pPr>
    </w:p>
    <w:p w14:paraId="51B95592" w14:textId="77777777" w:rsidR="00B561C7" w:rsidRDefault="00B561C7" w:rsidP="00B561C7">
      <w:pPr>
        <w:tabs>
          <w:tab w:val="left" w:pos="1440"/>
        </w:tabs>
        <w:ind w:left="1080"/>
        <w:rPr>
          <w:sz w:val="24"/>
          <w:szCs w:val="24"/>
        </w:rPr>
      </w:pPr>
    </w:p>
    <w:p w14:paraId="4E14956F" w14:textId="77777777" w:rsidR="00B561C7" w:rsidRDefault="00B561C7">
      <w:r w:rsidRPr="00B561C7">
        <w:rPr>
          <w:noProof/>
        </w:rPr>
        <w:lastRenderedPageBreak/>
        <w:drawing>
          <wp:inline distT="0" distB="0" distL="0" distR="0" wp14:anchorId="6854B28C" wp14:editId="14528EE3">
            <wp:extent cx="46196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962025"/>
                    </a:xfrm>
                    <a:prstGeom prst="rect">
                      <a:avLst/>
                    </a:prstGeom>
                    <a:noFill/>
                    <a:ln>
                      <a:noFill/>
                    </a:ln>
                  </pic:spPr>
                </pic:pic>
              </a:graphicData>
            </a:graphic>
          </wp:inline>
        </w:drawing>
      </w:r>
    </w:p>
    <w:p w14:paraId="06B5A389" w14:textId="77777777" w:rsidR="00B561C7" w:rsidRPr="00BC44C7" w:rsidRDefault="00B561C7" w:rsidP="00B561C7">
      <w:pPr>
        <w:ind w:left="360"/>
        <w:contextualSpacing/>
        <w:rPr>
          <w:rFonts w:eastAsia="Calibri"/>
          <w:color w:val="FF0000"/>
          <w:sz w:val="24"/>
          <w:szCs w:val="24"/>
        </w:rPr>
      </w:pPr>
      <w:r w:rsidRPr="00E31888">
        <w:rPr>
          <w:rFonts w:eastAsia="Calibri"/>
          <w:color w:val="FF0000"/>
          <w:sz w:val="24"/>
          <w:szCs w:val="24"/>
          <w:highlight w:val="yellow"/>
        </w:rPr>
        <w:t>14)The SFC provider will obtain prior approval from Case Management for all requests regarding new caregiver changes.</w:t>
      </w:r>
    </w:p>
    <w:p w14:paraId="014F7AF1" w14:textId="77777777" w:rsidR="00B561C7" w:rsidRDefault="00B561C7"/>
    <w:p w14:paraId="612C1D8E" w14:textId="77777777" w:rsidR="00B561C7" w:rsidRDefault="00B561C7"/>
    <w:p w14:paraId="7476BEA7" w14:textId="77777777" w:rsidR="00B01277" w:rsidRDefault="00B01277">
      <w:r w:rsidRPr="00B01277">
        <w:rPr>
          <w:noProof/>
        </w:rPr>
        <w:drawing>
          <wp:inline distT="0" distB="0" distL="0" distR="0" wp14:anchorId="3E404EC4" wp14:editId="441A86CD">
            <wp:extent cx="459105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723900"/>
                    </a:xfrm>
                    <a:prstGeom prst="rect">
                      <a:avLst/>
                    </a:prstGeom>
                    <a:noFill/>
                    <a:ln>
                      <a:noFill/>
                    </a:ln>
                  </pic:spPr>
                </pic:pic>
              </a:graphicData>
            </a:graphic>
          </wp:inline>
        </w:drawing>
      </w:r>
    </w:p>
    <w:p w14:paraId="0A7D11D2" w14:textId="77777777" w:rsidR="00B01277" w:rsidRDefault="00B01277" w:rsidP="00B01277">
      <w:pPr>
        <w:pStyle w:val="1stLevelBodyText"/>
        <w:numPr>
          <w:ilvl w:val="1"/>
          <w:numId w:val="3"/>
        </w:numPr>
        <w:tabs>
          <w:tab w:val="clear" w:pos="3600"/>
          <w:tab w:val="left" w:pos="1800"/>
        </w:tabs>
        <w:ind w:left="1800"/>
        <w:rPr>
          <w:color w:val="FF0000"/>
        </w:rPr>
      </w:pPr>
      <w:r w:rsidRPr="00115A07">
        <w:rPr>
          <w:color w:val="FF0000"/>
        </w:rPr>
        <w:t xml:space="preserve">ERS providers </w:t>
      </w:r>
      <w:r>
        <w:rPr>
          <w:color w:val="FF0000"/>
        </w:rPr>
        <w:t>are not required to</w:t>
      </w:r>
      <w:r w:rsidRPr="00115A07">
        <w:rPr>
          <w:color w:val="FF0000"/>
        </w:rPr>
        <w:t xml:space="preserve"> replace a system unless there is a malfunction</w:t>
      </w:r>
      <w:r>
        <w:rPr>
          <w:color w:val="FF0000"/>
        </w:rPr>
        <w:t>/</w:t>
      </w:r>
      <w:r w:rsidRPr="00115A07">
        <w:rPr>
          <w:color w:val="FF0000"/>
        </w:rPr>
        <w:t xml:space="preserve"> defect</w:t>
      </w:r>
      <w:r>
        <w:rPr>
          <w:color w:val="FF0000"/>
        </w:rPr>
        <w:t xml:space="preserve"> in the current unit, unit upgrade by the provider agency</w:t>
      </w:r>
      <w:r w:rsidRPr="00115A07">
        <w:rPr>
          <w:color w:val="FF0000"/>
        </w:rPr>
        <w:t xml:space="preserve"> or act of nature</w:t>
      </w:r>
      <w:r>
        <w:rPr>
          <w:color w:val="FF0000"/>
        </w:rPr>
        <w:t xml:space="preserve"> issue with the existing unit</w:t>
      </w:r>
      <w:r w:rsidRPr="00115A07">
        <w:rPr>
          <w:color w:val="FF0000"/>
        </w:rPr>
        <w:t xml:space="preserve">. </w:t>
      </w:r>
      <w:r w:rsidRPr="006A7DBC">
        <w:rPr>
          <w:color w:val="FF0000"/>
          <w:highlight w:val="yellow"/>
        </w:rPr>
        <w:t>If the unit is damaged or lost by the member/caregiver</w:t>
      </w:r>
      <w:r w:rsidRPr="00115A07">
        <w:rPr>
          <w:color w:val="FF0000"/>
        </w:rPr>
        <w:t xml:space="preserve">, neither the provider </w:t>
      </w:r>
      <w:r>
        <w:rPr>
          <w:color w:val="FF0000"/>
        </w:rPr>
        <w:t>n</w:t>
      </w:r>
      <w:r w:rsidRPr="00115A07">
        <w:rPr>
          <w:color w:val="FF0000"/>
        </w:rPr>
        <w:t>or Medicaid will be responsible for the cost of a new unit</w:t>
      </w:r>
      <w:r>
        <w:rPr>
          <w:color w:val="FF0000"/>
        </w:rPr>
        <w:t>/install</w:t>
      </w:r>
      <w:r w:rsidRPr="00115A07">
        <w:rPr>
          <w:color w:val="FF0000"/>
        </w:rPr>
        <w:t>.</w:t>
      </w:r>
      <w:r>
        <w:rPr>
          <w:color w:val="FF0000"/>
        </w:rPr>
        <w:t xml:space="preserve"> </w:t>
      </w:r>
      <w:r w:rsidRPr="00307B74">
        <w:rPr>
          <w:color w:val="FF0000"/>
          <w:highlight w:val="yellow"/>
        </w:rPr>
        <w:t xml:space="preserve">A member remaining active in the waiver program but requesting </w:t>
      </w:r>
      <w:r>
        <w:rPr>
          <w:color w:val="FF0000"/>
          <w:highlight w:val="yellow"/>
        </w:rPr>
        <w:t xml:space="preserve">ERS service </w:t>
      </w:r>
      <w:r w:rsidRPr="00307B74">
        <w:rPr>
          <w:color w:val="FF0000"/>
          <w:highlight w:val="yellow"/>
        </w:rPr>
        <w:t xml:space="preserve">termination and then return of the ERS service within a </w:t>
      </w:r>
      <w:proofErr w:type="gramStart"/>
      <w:r w:rsidRPr="00307B74">
        <w:rPr>
          <w:color w:val="FF0000"/>
          <w:highlight w:val="yellow"/>
        </w:rPr>
        <w:t>12 month</w:t>
      </w:r>
      <w:proofErr w:type="gramEnd"/>
      <w:r w:rsidRPr="00307B74">
        <w:rPr>
          <w:color w:val="FF0000"/>
          <w:highlight w:val="yellow"/>
        </w:rPr>
        <w:t xml:space="preserve"> period </w:t>
      </w:r>
      <w:r>
        <w:rPr>
          <w:color w:val="FF0000"/>
          <w:highlight w:val="yellow"/>
        </w:rPr>
        <w:t xml:space="preserve">(excluding a temporary nursing home stay) </w:t>
      </w:r>
      <w:r w:rsidRPr="00307B74">
        <w:rPr>
          <w:color w:val="FF0000"/>
          <w:highlight w:val="yellow"/>
        </w:rPr>
        <w:t>will be subject to the cost of the second installation fee.</w:t>
      </w:r>
      <w:r>
        <w:rPr>
          <w:color w:val="FF0000"/>
        </w:rPr>
        <w:t xml:space="preserve"> </w:t>
      </w:r>
    </w:p>
    <w:p w14:paraId="7B215038" w14:textId="77777777" w:rsidR="00B53E3D" w:rsidRPr="00115A07" w:rsidRDefault="00B53E3D" w:rsidP="00B53E3D">
      <w:pPr>
        <w:pStyle w:val="1stLevelBodyText"/>
        <w:tabs>
          <w:tab w:val="left" w:pos="1800"/>
        </w:tabs>
        <w:ind w:left="1800"/>
        <w:rPr>
          <w:color w:val="FF0000"/>
        </w:rPr>
      </w:pPr>
    </w:p>
    <w:p w14:paraId="480F779E" w14:textId="77777777" w:rsidR="00B01277" w:rsidRDefault="00B01277"/>
    <w:p w14:paraId="146CCB3B" w14:textId="77777777" w:rsidR="00751D5C" w:rsidRDefault="00751D5C"/>
    <w:p w14:paraId="2CBD6050" w14:textId="77777777" w:rsidR="00751D5C" w:rsidRDefault="00751D5C">
      <w:r w:rsidRPr="00751D5C">
        <w:rPr>
          <w:noProof/>
        </w:rPr>
        <w:drawing>
          <wp:inline distT="0" distB="0" distL="0" distR="0" wp14:anchorId="48B238E5" wp14:editId="783D7B89">
            <wp:extent cx="46386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714375"/>
                    </a:xfrm>
                    <a:prstGeom prst="rect">
                      <a:avLst/>
                    </a:prstGeom>
                    <a:noFill/>
                    <a:ln>
                      <a:noFill/>
                    </a:ln>
                  </pic:spPr>
                </pic:pic>
              </a:graphicData>
            </a:graphic>
          </wp:inline>
        </w:drawing>
      </w:r>
    </w:p>
    <w:p w14:paraId="7824BAA5" w14:textId="77777777" w:rsidR="00751D5C" w:rsidRDefault="00751D5C"/>
    <w:p w14:paraId="34194720" w14:textId="77777777" w:rsidR="00751D5C" w:rsidRPr="00E31888" w:rsidRDefault="00751D5C" w:rsidP="00751D5C">
      <w:pPr>
        <w:pStyle w:val="ListParagraph"/>
        <w:numPr>
          <w:ilvl w:val="0"/>
          <w:numId w:val="4"/>
        </w:numPr>
        <w:spacing w:after="200" w:line="276" w:lineRule="auto"/>
        <w:rPr>
          <w:highlight w:val="yellow"/>
        </w:rPr>
      </w:pPr>
      <w:r w:rsidRPr="00E31888">
        <w:rPr>
          <w:highlight w:val="yellow"/>
        </w:rPr>
        <w:t xml:space="preserve">Providers seeking </w:t>
      </w:r>
      <w:r w:rsidRPr="00E31888">
        <w:rPr>
          <w:strike/>
          <w:highlight w:val="yellow"/>
        </w:rPr>
        <w:t>service area</w:t>
      </w:r>
      <w:r w:rsidRPr="00E31888">
        <w:rPr>
          <w:highlight w:val="yellow"/>
        </w:rPr>
        <w:t xml:space="preserve"> expansion </w:t>
      </w:r>
      <w:r w:rsidRPr="00E31888">
        <w:rPr>
          <w:color w:val="FF0000"/>
          <w:highlight w:val="yellow"/>
        </w:rPr>
        <w:t xml:space="preserve">of county coverage for an existing service </w:t>
      </w:r>
      <w:r w:rsidRPr="00E31888">
        <w:rPr>
          <w:highlight w:val="yellow"/>
        </w:rPr>
        <w:t xml:space="preserve">must have been EDWP (CCSP and SOURCE) providers for a minimum of twelve </w:t>
      </w:r>
      <w:r w:rsidRPr="00E31888">
        <w:rPr>
          <w:color w:val="FF0000"/>
          <w:highlight w:val="yellow"/>
        </w:rPr>
        <w:t xml:space="preserve">(6) </w:t>
      </w:r>
      <w:r w:rsidRPr="00E31888">
        <w:rPr>
          <w:strike/>
          <w:highlight w:val="yellow"/>
        </w:rPr>
        <w:t>(12)</w:t>
      </w:r>
      <w:r w:rsidRPr="00E31888">
        <w:rPr>
          <w:highlight w:val="yellow"/>
        </w:rPr>
        <w:t xml:space="preserve"> months.</w:t>
      </w:r>
    </w:p>
    <w:p w14:paraId="48CA61C7" w14:textId="77777777" w:rsidR="00751D5C" w:rsidRDefault="00751D5C" w:rsidP="00751D5C">
      <w:pPr>
        <w:pStyle w:val="ListParagraph"/>
        <w:spacing w:after="200" w:line="276" w:lineRule="auto"/>
        <w:ind w:left="1800"/>
      </w:pPr>
    </w:p>
    <w:p w14:paraId="1715F041" w14:textId="77777777" w:rsidR="003D7FC5" w:rsidRDefault="003D7FC5" w:rsidP="00751D5C">
      <w:pPr>
        <w:pStyle w:val="ListParagraph"/>
        <w:spacing w:after="200" w:line="276" w:lineRule="auto"/>
        <w:ind w:left="1800"/>
      </w:pPr>
    </w:p>
    <w:p w14:paraId="3FAEA2BD" w14:textId="77777777" w:rsidR="003D7FC5" w:rsidRPr="0089550B" w:rsidRDefault="003D7FC5" w:rsidP="00751D5C">
      <w:pPr>
        <w:pStyle w:val="ListParagraph"/>
        <w:spacing w:after="200" w:line="276" w:lineRule="auto"/>
        <w:ind w:left="1800"/>
      </w:pPr>
    </w:p>
    <w:p w14:paraId="29A5FE2F" w14:textId="77777777" w:rsidR="00751D5C" w:rsidRDefault="00751D5C">
      <w:r w:rsidRPr="00751D5C">
        <w:rPr>
          <w:noProof/>
        </w:rPr>
        <w:lastRenderedPageBreak/>
        <w:drawing>
          <wp:inline distT="0" distB="0" distL="0" distR="0" wp14:anchorId="69B92882" wp14:editId="7F53F93C">
            <wp:extent cx="4714875" cy="561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561975"/>
                    </a:xfrm>
                    <a:prstGeom prst="rect">
                      <a:avLst/>
                    </a:prstGeom>
                    <a:noFill/>
                    <a:ln>
                      <a:noFill/>
                    </a:ln>
                  </pic:spPr>
                </pic:pic>
              </a:graphicData>
            </a:graphic>
          </wp:inline>
        </w:drawing>
      </w:r>
    </w:p>
    <w:p w14:paraId="60151C86" w14:textId="77777777" w:rsidR="00751D5C" w:rsidRPr="00396F88" w:rsidRDefault="00751D5C" w:rsidP="00751D5C">
      <w:pPr>
        <w:pStyle w:val="Document1"/>
        <w:keepNext w:val="0"/>
        <w:keepLines w:val="0"/>
        <w:widowControl/>
        <w:tabs>
          <w:tab w:val="clear" w:pos="-720"/>
          <w:tab w:val="left" w:pos="3060"/>
          <w:tab w:val="left" w:pos="3960"/>
          <w:tab w:val="left" w:pos="4680"/>
          <w:tab w:val="left" w:pos="5220"/>
        </w:tabs>
        <w:spacing w:before="240"/>
        <w:ind w:left="3060"/>
        <w:rPr>
          <w:rStyle w:val="a"/>
          <w:rFonts w:ascii="Times New Roman" w:hAnsi="Times New Roman"/>
          <w:color w:val="F4B083" w:themeColor="accent2" w:themeTint="99"/>
          <w:sz w:val="24"/>
        </w:rPr>
      </w:pPr>
      <w:r w:rsidRPr="00E31888">
        <w:rPr>
          <w:rStyle w:val="a"/>
          <w:rFonts w:ascii="ZWAdobeF" w:hAnsi="ZWAdobeF" w:cs="ZWAdobeF"/>
          <w:sz w:val="2"/>
          <w:szCs w:val="2"/>
          <w:highlight w:val="yellow"/>
        </w:rPr>
        <w:t>0T</w:t>
      </w:r>
      <w:r w:rsidRPr="00E31888">
        <w:rPr>
          <w:rStyle w:val="a"/>
          <w:rFonts w:ascii="Times New Roman" w:hAnsi="Times New Roman"/>
          <w:sz w:val="24"/>
          <w:highlight w:val="yellow"/>
        </w:rPr>
        <w:t xml:space="preserve">Medicaid reimbursement for the current provider will terminate on the effective date of the sale. </w:t>
      </w:r>
      <w:r w:rsidRPr="00E31888">
        <w:rPr>
          <w:rStyle w:val="a"/>
          <w:rFonts w:ascii="Times New Roman" w:hAnsi="Times New Roman"/>
          <w:color w:val="FF0000"/>
          <w:sz w:val="24"/>
          <w:highlight w:val="yellow"/>
        </w:rPr>
        <w:t>The new provider must complete a change of ownership/CHOW application with new payee ID/EIN and provide the Department with appropriate banking information for proper Medicaid reimbursement. Upon approval of the CHOW, Medicaid reimbursement will be effective the date of ownership and approval to enroll in the EDWP (CCSP and SOURCE) if the following conditions are met:</w:t>
      </w:r>
    </w:p>
    <w:p w14:paraId="24F43D83" w14:textId="77777777" w:rsidR="00751D5C" w:rsidRDefault="00751D5C"/>
    <w:p w14:paraId="48E89598" w14:textId="77777777" w:rsidR="00751D5C" w:rsidRDefault="00751D5C"/>
    <w:p w14:paraId="1DBFBB3E" w14:textId="77777777" w:rsidR="00751D5C" w:rsidRDefault="00751D5C">
      <w:r w:rsidRPr="00751D5C">
        <w:rPr>
          <w:noProof/>
        </w:rPr>
        <w:drawing>
          <wp:inline distT="0" distB="0" distL="0" distR="0" wp14:anchorId="538D7638" wp14:editId="74FD3342">
            <wp:extent cx="477202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025" cy="561975"/>
                    </a:xfrm>
                    <a:prstGeom prst="rect">
                      <a:avLst/>
                    </a:prstGeom>
                    <a:noFill/>
                    <a:ln>
                      <a:noFill/>
                    </a:ln>
                  </pic:spPr>
                </pic:pic>
              </a:graphicData>
            </a:graphic>
          </wp:inline>
        </w:drawing>
      </w:r>
    </w:p>
    <w:p w14:paraId="5F7EF6E3" w14:textId="77777777" w:rsidR="00751D5C" w:rsidRDefault="00751D5C"/>
    <w:p w14:paraId="24D2599A" w14:textId="77777777" w:rsidR="00751D5C" w:rsidRDefault="00751D5C">
      <w:r w:rsidRPr="00E31888">
        <w:rPr>
          <w:noProof/>
          <w:highlight w:val="yellow"/>
        </w:rPr>
        <w:drawing>
          <wp:inline distT="0" distB="0" distL="0" distR="0" wp14:anchorId="30A460EA" wp14:editId="2D26C740">
            <wp:extent cx="6286137" cy="2838450"/>
            <wp:effectExtent l="0" t="0" r="635" b="0"/>
            <wp:docPr id="12" name="Picture 12" descr="CCSP and SOURCE General Services April 2021 red.docm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CCF73E.tmp"/>
                    <pic:cNvPicPr/>
                  </pic:nvPicPr>
                  <pic:blipFill rotWithShape="1">
                    <a:blip r:embed="rId17">
                      <a:extLst>
                        <a:ext uri="{28A0092B-C50C-407E-A947-70E740481C1C}">
                          <a14:useLocalDpi xmlns:a14="http://schemas.microsoft.com/office/drawing/2010/main" val="0"/>
                        </a:ext>
                      </a:extLst>
                    </a:blip>
                    <a:srcRect l="27243" t="37037" r="12500" b="12252"/>
                    <a:stretch/>
                  </pic:blipFill>
                  <pic:spPr bwMode="auto">
                    <a:xfrm>
                      <a:off x="0" y="0"/>
                      <a:ext cx="6304382" cy="2846688"/>
                    </a:xfrm>
                    <a:prstGeom prst="rect">
                      <a:avLst/>
                    </a:prstGeom>
                    <a:ln>
                      <a:noFill/>
                    </a:ln>
                    <a:extLst>
                      <a:ext uri="{53640926-AAD7-44D8-BBD7-CCE9431645EC}">
                        <a14:shadowObscured xmlns:a14="http://schemas.microsoft.com/office/drawing/2010/main"/>
                      </a:ext>
                    </a:extLst>
                  </pic:spPr>
                </pic:pic>
              </a:graphicData>
            </a:graphic>
          </wp:inline>
        </w:drawing>
      </w:r>
    </w:p>
    <w:p w14:paraId="34C43B71" w14:textId="77777777" w:rsidR="00751D5C" w:rsidRDefault="00751D5C"/>
    <w:p w14:paraId="6729375D" w14:textId="77777777" w:rsidR="003D7FC5" w:rsidRDefault="003D7FC5"/>
    <w:p w14:paraId="333DD868" w14:textId="77777777" w:rsidR="003D7FC5" w:rsidRDefault="003D7FC5"/>
    <w:p w14:paraId="66A3DDA7" w14:textId="77777777" w:rsidR="003D7FC5" w:rsidRDefault="003D7FC5"/>
    <w:p w14:paraId="377B41A2" w14:textId="77777777" w:rsidR="003D7FC5" w:rsidRDefault="003D7FC5"/>
    <w:p w14:paraId="0E91C842" w14:textId="77777777" w:rsidR="00751D5C" w:rsidRDefault="00751D5C">
      <w:r w:rsidRPr="00751D5C">
        <w:rPr>
          <w:noProof/>
        </w:rPr>
        <w:lastRenderedPageBreak/>
        <w:drawing>
          <wp:inline distT="0" distB="0" distL="0" distR="0" wp14:anchorId="43B6BEB6" wp14:editId="54BF2B80">
            <wp:extent cx="4695825" cy="371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825" cy="371475"/>
                    </a:xfrm>
                    <a:prstGeom prst="rect">
                      <a:avLst/>
                    </a:prstGeom>
                    <a:noFill/>
                    <a:ln>
                      <a:noFill/>
                    </a:ln>
                  </pic:spPr>
                </pic:pic>
              </a:graphicData>
            </a:graphic>
          </wp:inline>
        </w:drawing>
      </w:r>
    </w:p>
    <w:p w14:paraId="09BC4EBE" w14:textId="77777777" w:rsidR="003D7FC5" w:rsidRDefault="003D7FC5"/>
    <w:p w14:paraId="18257C6F" w14:textId="77777777" w:rsidR="00566B52" w:rsidRDefault="00566B52"/>
    <w:p w14:paraId="712364A5" w14:textId="77777777" w:rsidR="00751D5C" w:rsidRDefault="00751D5C">
      <w:r w:rsidRPr="00751D5C">
        <w:rPr>
          <w:noProof/>
        </w:rPr>
        <w:drawing>
          <wp:inline distT="0" distB="0" distL="0" distR="0" wp14:anchorId="44F4B01B" wp14:editId="7A14D725">
            <wp:extent cx="4743450" cy="1304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1304925"/>
                    </a:xfrm>
                    <a:prstGeom prst="rect">
                      <a:avLst/>
                    </a:prstGeom>
                    <a:noFill/>
                    <a:ln>
                      <a:noFill/>
                    </a:ln>
                  </pic:spPr>
                </pic:pic>
              </a:graphicData>
            </a:graphic>
          </wp:inline>
        </w:drawing>
      </w:r>
    </w:p>
    <w:p w14:paraId="75D9023A" w14:textId="77777777" w:rsidR="00751D5C" w:rsidRDefault="00751D5C"/>
    <w:p w14:paraId="213767AE" w14:textId="77777777" w:rsidR="00751D5C" w:rsidRDefault="00751D5C"/>
    <w:p w14:paraId="65913462" w14:textId="77777777" w:rsidR="00751D5C" w:rsidRDefault="00751D5C">
      <w:r w:rsidRPr="00751D5C">
        <w:rPr>
          <w:noProof/>
        </w:rPr>
        <w:drawing>
          <wp:inline distT="0" distB="0" distL="0" distR="0" wp14:anchorId="0C8E9065" wp14:editId="5446202C">
            <wp:extent cx="4743450" cy="1323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50" cy="1323975"/>
                    </a:xfrm>
                    <a:prstGeom prst="rect">
                      <a:avLst/>
                    </a:prstGeom>
                    <a:noFill/>
                    <a:ln>
                      <a:noFill/>
                    </a:ln>
                  </pic:spPr>
                </pic:pic>
              </a:graphicData>
            </a:graphic>
          </wp:inline>
        </w:drawing>
      </w:r>
    </w:p>
    <w:p w14:paraId="0E9379F5" w14:textId="77777777" w:rsidR="00751D5C" w:rsidRPr="00F56FD2" w:rsidRDefault="00751D5C" w:rsidP="00751D5C">
      <w:pPr>
        <w:tabs>
          <w:tab w:val="center" w:pos="4680"/>
        </w:tabs>
        <w:suppressAutoHyphens/>
        <w:rPr>
          <w:rFonts w:ascii="Times New Roman" w:hAnsi="Times New Roman"/>
          <w:b/>
          <w:bCs/>
          <w:sz w:val="24"/>
        </w:rPr>
      </w:pPr>
      <w:r w:rsidRPr="00E31888">
        <w:rPr>
          <w:rFonts w:ascii="Times New Roman" w:hAnsi="Times New Roman"/>
          <w:b/>
          <w:bCs/>
          <w:sz w:val="24"/>
          <w:highlight w:val="yellow"/>
          <w:u w:val="single"/>
        </w:rPr>
        <w:t>NOTE</w:t>
      </w:r>
      <w:r w:rsidRPr="00E31888">
        <w:rPr>
          <w:rFonts w:ascii="Times New Roman" w:hAnsi="Times New Roman"/>
          <w:b/>
          <w:bCs/>
          <w:sz w:val="24"/>
          <w:highlight w:val="yellow"/>
        </w:rPr>
        <w:t xml:space="preserve">:  For </w:t>
      </w:r>
      <w:r w:rsidRPr="00E31888">
        <w:rPr>
          <w:rFonts w:ascii="Times New Roman" w:hAnsi="Times New Roman"/>
          <w:b/>
          <w:bCs/>
          <w:color w:val="FF0000"/>
          <w:sz w:val="24"/>
          <w:highlight w:val="yellow"/>
        </w:rPr>
        <w:t xml:space="preserve">SNS RN/LPN </w:t>
      </w:r>
      <w:r w:rsidRPr="00E31888">
        <w:rPr>
          <w:rFonts w:ascii="Times New Roman" w:hAnsi="Times New Roman"/>
          <w:b/>
          <w:bCs/>
          <w:strike/>
          <w:sz w:val="24"/>
          <w:highlight w:val="yellow"/>
        </w:rPr>
        <w:t>personal support</w:t>
      </w:r>
      <w:r w:rsidRPr="00E31888">
        <w:rPr>
          <w:rFonts w:ascii="Times New Roman" w:hAnsi="Times New Roman"/>
          <w:b/>
          <w:bCs/>
          <w:sz w:val="24"/>
          <w:highlight w:val="yellow"/>
        </w:rPr>
        <w:t xml:space="preserve"> services for SOURCE, see </w:t>
      </w:r>
      <w:r w:rsidRPr="00E31888">
        <w:rPr>
          <w:rFonts w:ascii="Times New Roman" w:hAnsi="Times New Roman"/>
          <w:b/>
          <w:bCs/>
          <w:color w:val="FF0000"/>
          <w:sz w:val="24"/>
          <w:highlight w:val="yellow"/>
        </w:rPr>
        <w:t xml:space="preserve">the SOURCE documents manual for the National Codes and Rates </w:t>
      </w:r>
      <w:r w:rsidRPr="00E31888">
        <w:rPr>
          <w:rFonts w:ascii="Times New Roman" w:hAnsi="Times New Roman"/>
          <w:b/>
          <w:bCs/>
          <w:strike/>
          <w:sz w:val="24"/>
          <w:highlight w:val="yellow"/>
        </w:rPr>
        <w:t>Appendix DD of the SOURCE Manuals</w:t>
      </w:r>
      <w:r w:rsidRPr="00E31888">
        <w:rPr>
          <w:rFonts w:ascii="Times New Roman" w:hAnsi="Times New Roman"/>
          <w:b/>
          <w:bCs/>
          <w:sz w:val="24"/>
          <w:highlight w:val="yellow"/>
        </w:rPr>
        <w:t xml:space="preserve"> </w:t>
      </w:r>
      <w:r w:rsidRPr="00E31888">
        <w:rPr>
          <w:rFonts w:ascii="Times New Roman" w:hAnsi="Times New Roman"/>
          <w:b/>
          <w:bCs/>
          <w:strike/>
          <w:sz w:val="24"/>
          <w:highlight w:val="yellow"/>
        </w:rPr>
        <w:t>for rates</w:t>
      </w:r>
      <w:r w:rsidRPr="00E31888">
        <w:rPr>
          <w:rFonts w:ascii="Times New Roman" w:hAnsi="Times New Roman"/>
          <w:b/>
          <w:bCs/>
          <w:sz w:val="24"/>
          <w:highlight w:val="yellow"/>
        </w:rPr>
        <w:t xml:space="preserve"> for </w:t>
      </w:r>
      <w:r w:rsidRPr="00E31888">
        <w:rPr>
          <w:rFonts w:ascii="Times New Roman" w:hAnsi="Times New Roman"/>
          <w:b/>
          <w:bCs/>
          <w:color w:val="FF0000"/>
          <w:sz w:val="24"/>
          <w:highlight w:val="yellow"/>
        </w:rPr>
        <w:t xml:space="preserve">T1030 and T1031 </w:t>
      </w:r>
      <w:r w:rsidRPr="00E31888">
        <w:rPr>
          <w:rFonts w:ascii="Times New Roman" w:hAnsi="Times New Roman"/>
          <w:b/>
          <w:bCs/>
          <w:strike/>
          <w:sz w:val="24"/>
          <w:highlight w:val="yellow"/>
        </w:rPr>
        <w:t>T1021</w:t>
      </w:r>
      <w:r w:rsidRPr="00E31888">
        <w:rPr>
          <w:rFonts w:ascii="Times New Roman" w:hAnsi="Times New Roman"/>
          <w:b/>
          <w:bCs/>
          <w:sz w:val="24"/>
          <w:highlight w:val="yellow"/>
        </w:rPr>
        <w:t xml:space="preserve">, </w:t>
      </w:r>
      <w:r w:rsidRPr="00E31888">
        <w:rPr>
          <w:rFonts w:ascii="Times New Roman" w:hAnsi="Times New Roman"/>
          <w:b/>
          <w:bCs/>
          <w:strike/>
          <w:sz w:val="24"/>
          <w:highlight w:val="yellow"/>
        </w:rPr>
        <w:t>including all modifiers</w:t>
      </w:r>
      <w:r w:rsidRPr="00E31888">
        <w:rPr>
          <w:rFonts w:ascii="Times New Roman" w:hAnsi="Times New Roman"/>
          <w:b/>
          <w:bCs/>
          <w:sz w:val="24"/>
          <w:highlight w:val="yellow"/>
        </w:rPr>
        <w:t>.</w:t>
      </w:r>
    </w:p>
    <w:p w14:paraId="4ABA6420" w14:textId="77777777" w:rsidR="00751D5C" w:rsidRDefault="00751D5C"/>
    <w:p w14:paraId="6B9FFB56" w14:textId="77777777" w:rsidR="00751D5C" w:rsidRDefault="00751D5C"/>
    <w:p w14:paraId="7379F8AB" w14:textId="77777777" w:rsidR="00751D5C" w:rsidRDefault="00751D5C">
      <w:r w:rsidRPr="00751D5C">
        <w:rPr>
          <w:noProof/>
        </w:rPr>
        <w:drawing>
          <wp:inline distT="0" distB="0" distL="0" distR="0" wp14:anchorId="214D1BA4" wp14:editId="262A2C62">
            <wp:extent cx="466725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276225"/>
                    </a:xfrm>
                    <a:prstGeom prst="rect">
                      <a:avLst/>
                    </a:prstGeom>
                    <a:noFill/>
                    <a:ln>
                      <a:noFill/>
                    </a:ln>
                  </pic:spPr>
                </pic:pic>
              </a:graphicData>
            </a:graphic>
          </wp:inline>
        </w:drawing>
      </w:r>
    </w:p>
    <w:p w14:paraId="29459DA7" w14:textId="77777777" w:rsidR="00751D5C" w:rsidRPr="00E31888" w:rsidRDefault="00751D5C" w:rsidP="00751D5C">
      <w:pPr>
        <w:pStyle w:val="Heading5"/>
        <w:ind w:left="2676" w:right="3212"/>
        <w:jc w:val="center"/>
        <w:rPr>
          <w:rFonts w:ascii="Arial" w:eastAsia="Arial" w:hAnsi="Arial" w:cs="Arial"/>
          <w:b w:val="0"/>
          <w:bCs/>
          <w:highlight w:val="yellow"/>
        </w:rPr>
      </w:pPr>
      <w:r w:rsidRPr="00E31888">
        <w:rPr>
          <w:rFonts w:ascii="Arial"/>
          <w:spacing w:val="-1"/>
          <w:highlight w:val="yellow"/>
        </w:rPr>
        <w:t>Non-Emergency Medical</w:t>
      </w:r>
      <w:r w:rsidRPr="00E31888">
        <w:rPr>
          <w:rFonts w:ascii="Arial"/>
          <w:spacing w:val="-4"/>
          <w:highlight w:val="yellow"/>
        </w:rPr>
        <w:t xml:space="preserve"> </w:t>
      </w:r>
      <w:r w:rsidRPr="00E31888">
        <w:rPr>
          <w:rFonts w:ascii="Arial"/>
          <w:spacing w:val="-1"/>
          <w:highlight w:val="yellow"/>
        </w:rPr>
        <w:t xml:space="preserve">Transportation </w:t>
      </w:r>
    </w:p>
    <w:p w14:paraId="6EBDC7F0" w14:textId="77777777" w:rsidR="00751D5C" w:rsidRPr="00E31888" w:rsidRDefault="00751D5C" w:rsidP="00751D5C">
      <w:pPr>
        <w:pStyle w:val="NormalWeb"/>
        <w:spacing w:before="0" w:beforeAutospacing="0" w:after="0" w:afterAutospacing="0"/>
        <w:rPr>
          <w:b/>
          <w:sz w:val="22"/>
          <w:szCs w:val="22"/>
          <w:highlight w:val="yellow"/>
        </w:rPr>
      </w:pPr>
      <w:bookmarkStart w:id="1" w:name="_Hlk62734996"/>
      <w:proofErr w:type="spellStart"/>
      <w:r w:rsidRPr="00E31888">
        <w:rPr>
          <w:b/>
          <w:sz w:val="22"/>
          <w:szCs w:val="22"/>
          <w:highlight w:val="yellow"/>
        </w:rPr>
        <w:t>ModivCare</w:t>
      </w:r>
      <w:proofErr w:type="spellEnd"/>
      <w:r w:rsidRPr="00E31888">
        <w:rPr>
          <w:b/>
          <w:sz w:val="22"/>
          <w:szCs w:val="22"/>
          <w:highlight w:val="yellow"/>
        </w:rPr>
        <w:t xml:space="preserve"> </w:t>
      </w:r>
    </w:p>
    <w:p w14:paraId="01AC2BD7" w14:textId="77777777" w:rsidR="00751D5C" w:rsidRPr="004D11CE" w:rsidRDefault="00751D5C" w:rsidP="00751D5C">
      <w:pPr>
        <w:pStyle w:val="NormalWeb"/>
        <w:spacing w:before="0" w:beforeAutospacing="0" w:after="0" w:afterAutospacing="0"/>
        <w:rPr>
          <w:b/>
          <w:i/>
          <w:iCs/>
          <w:sz w:val="22"/>
          <w:szCs w:val="22"/>
        </w:rPr>
      </w:pPr>
      <w:r w:rsidRPr="00E31888">
        <w:rPr>
          <w:b/>
          <w:sz w:val="22"/>
          <w:szCs w:val="22"/>
          <w:highlight w:val="yellow"/>
        </w:rPr>
        <w:t>(</w:t>
      </w:r>
      <w:r w:rsidRPr="00E31888">
        <w:rPr>
          <w:b/>
          <w:i/>
          <w:iCs/>
          <w:sz w:val="22"/>
          <w:szCs w:val="22"/>
          <w:highlight w:val="yellow"/>
        </w:rPr>
        <w:t>formerly LogistiCare)</w:t>
      </w:r>
    </w:p>
    <w:bookmarkEnd w:id="1"/>
    <w:p w14:paraId="451A8F14" w14:textId="77777777" w:rsidR="00751D5C" w:rsidRDefault="00751D5C"/>
    <w:sectPr w:rsidR="0075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WAdobeF">
    <w:altName w:val="Calibri"/>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539"/>
    <w:multiLevelType w:val="hybridMultilevel"/>
    <w:tmpl w:val="4874E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323179"/>
    <w:multiLevelType w:val="hybridMultilevel"/>
    <w:tmpl w:val="7B328E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1B59"/>
    <w:multiLevelType w:val="hybridMultilevel"/>
    <w:tmpl w:val="3D544476"/>
    <w:lvl w:ilvl="0" w:tplc="04090019">
      <w:start w:val="1"/>
      <w:numFmt w:val="lowerLetter"/>
      <w:lvlText w:val="%1."/>
      <w:lvlJc w:val="left"/>
      <w:pPr>
        <w:ind w:left="1800" w:hanging="360"/>
      </w:pPr>
    </w:lvl>
    <w:lvl w:ilvl="1" w:tplc="DC706F26">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B52E77"/>
    <w:multiLevelType w:val="hybridMultilevel"/>
    <w:tmpl w:val="8FE8293E"/>
    <w:lvl w:ilvl="0" w:tplc="48509D84">
      <w:start w:val="1"/>
      <w:numFmt w:val="decimal"/>
      <w:lvlText w:val="%1)"/>
      <w:lvlJc w:val="left"/>
      <w:pPr>
        <w:tabs>
          <w:tab w:val="num" w:pos="2880"/>
        </w:tabs>
        <w:ind w:left="2880" w:hanging="360"/>
      </w:pPr>
      <w:rPr>
        <w:rFonts w:cs="Times New Roman" w:hint="default"/>
      </w:rPr>
    </w:lvl>
    <w:lvl w:ilvl="1" w:tplc="79A0523E">
      <w:start w:val="1"/>
      <w:numFmt w:val="upperLetter"/>
      <w:lvlText w:val="%2)"/>
      <w:lvlJc w:val="left"/>
      <w:pPr>
        <w:tabs>
          <w:tab w:val="num" w:pos="3600"/>
        </w:tabs>
        <w:ind w:left="3600" w:hanging="360"/>
      </w:pPr>
      <w:rPr>
        <w:rFonts w:cs="Times New Roman" w:hint="default"/>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C7"/>
    <w:rsid w:val="00311E4B"/>
    <w:rsid w:val="003D7FC5"/>
    <w:rsid w:val="00566B52"/>
    <w:rsid w:val="006019D3"/>
    <w:rsid w:val="00751D5C"/>
    <w:rsid w:val="00AB3838"/>
    <w:rsid w:val="00B01277"/>
    <w:rsid w:val="00B53E3D"/>
    <w:rsid w:val="00B561C7"/>
    <w:rsid w:val="00E3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7748"/>
  <w15:chartTrackingRefBased/>
  <w15:docId w15:val="{8D108245-2684-4A03-BC6A-8BA97973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751D5C"/>
    <w:pPr>
      <w:keepNext/>
      <w:tabs>
        <w:tab w:val="center" w:pos="4680"/>
      </w:tabs>
      <w:suppressAutoHyphens/>
      <w:spacing w:after="0" w:line="240" w:lineRule="auto"/>
      <w:jc w:val="right"/>
      <w:outlineLvl w:val="4"/>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B561C7"/>
    <w:rPr>
      <w:rFonts w:cs="Times New Roman"/>
    </w:rPr>
  </w:style>
  <w:style w:type="character" w:styleId="Hyperlink">
    <w:name w:val="Hyperlink"/>
    <w:basedOn w:val="DefaultParagraphFont"/>
    <w:uiPriority w:val="99"/>
    <w:semiHidden/>
    <w:unhideWhenUsed/>
    <w:rsid w:val="00B561C7"/>
    <w:rPr>
      <w:color w:val="0563C1"/>
      <w:u w:val="single"/>
    </w:rPr>
  </w:style>
  <w:style w:type="paragraph" w:styleId="ListParagraph">
    <w:name w:val="List Paragraph"/>
    <w:basedOn w:val="Normal"/>
    <w:uiPriority w:val="34"/>
    <w:qFormat/>
    <w:rsid w:val="00B561C7"/>
    <w:pPr>
      <w:ind w:left="720"/>
      <w:contextualSpacing/>
    </w:pPr>
  </w:style>
  <w:style w:type="paragraph" w:customStyle="1" w:styleId="1stLevelBodyText">
    <w:name w:val="1st Level Body Text"/>
    <w:basedOn w:val="BodyText"/>
    <w:rsid w:val="00B01277"/>
    <w:pPr>
      <w:spacing w:before="240" w:after="0" w:line="240" w:lineRule="auto"/>
      <w:ind w:left="144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1277"/>
    <w:pPr>
      <w:spacing w:after="120"/>
    </w:pPr>
  </w:style>
  <w:style w:type="character" w:customStyle="1" w:styleId="BodyTextChar">
    <w:name w:val="Body Text Char"/>
    <w:basedOn w:val="DefaultParagraphFont"/>
    <w:link w:val="BodyText"/>
    <w:uiPriority w:val="99"/>
    <w:semiHidden/>
    <w:rsid w:val="00B01277"/>
  </w:style>
  <w:style w:type="paragraph" w:customStyle="1" w:styleId="Document1">
    <w:name w:val="Document 1"/>
    <w:rsid w:val="00751D5C"/>
    <w:pPr>
      <w:keepNext/>
      <w:keepLines/>
      <w:widowControl w:val="0"/>
      <w:tabs>
        <w:tab w:val="left" w:pos="-720"/>
      </w:tabs>
      <w:suppressAutoHyphens/>
      <w:spacing w:after="0" w:line="240" w:lineRule="auto"/>
    </w:pPr>
    <w:rPr>
      <w:rFonts w:ascii="Helvetica" w:eastAsia="Times New Roman" w:hAnsi="Helvetica" w:cs="Times New Roman"/>
      <w:szCs w:val="20"/>
    </w:rPr>
  </w:style>
  <w:style w:type="character" w:customStyle="1" w:styleId="Heading5Char">
    <w:name w:val="Heading 5 Char"/>
    <w:basedOn w:val="DefaultParagraphFont"/>
    <w:link w:val="Heading5"/>
    <w:uiPriority w:val="9"/>
    <w:rsid w:val="00751D5C"/>
    <w:rPr>
      <w:rFonts w:ascii="Times New Roman" w:eastAsia="Times New Roman" w:hAnsi="Times New Roman" w:cs="Times New Roman"/>
      <w:b/>
      <w:color w:val="000000"/>
      <w:sz w:val="24"/>
      <w:szCs w:val="20"/>
    </w:rPr>
  </w:style>
  <w:style w:type="paragraph" w:styleId="NormalWeb">
    <w:name w:val="Normal (Web)"/>
    <w:basedOn w:val="Normal"/>
    <w:rsid w:val="00751D5C"/>
    <w:pPr>
      <w:spacing w:before="100" w:beforeAutospacing="1" w:after="100" w:afterAutospacing="1" w:line="240" w:lineRule="auto"/>
      <w:ind w:right="75"/>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hyperlink" Target="https://gcc02.safelinks.protection.outlook.com/?url=https%3A%2F%2Fwww.4tellus.com%2F&amp;data=04%7C01%7Cjill.crump%40dch.ga.gov%7C33020ef190e447078ac208d8d2a82f9e%7C512da10d071b4b948abc9ec4044d1516%7C0%7C0%7C637490967072444506%7CUnknown%7CTWFpbGZsb3d8eyJWIjoiMC4wLjAwMDAiLCJQIjoiV2luMzIiLCJBTiI6Ik1haWwiLCJXVCI6Mn0%3D%7C1000&amp;sdata=%2FV9AJ2tzJ9mw1zk9Fl66Fu70tzAKiLdFSr4d%2FD%2FRKRI%3D&amp;reserved=0" TargetMode="External"/><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Jill</dc:creator>
  <cp:keywords/>
  <dc:description/>
  <cp:lastModifiedBy>Andrew Parker</cp:lastModifiedBy>
  <cp:revision>2</cp:revision>
  <dcterms:created xsi:type="dcterms:W3CDTF">2021-05-19T12:13:00Z</dcterms:created>
  <dcterms:modified xsi:type="dcterms:W3CDTF">2021-05-19T12:13:00Z</dcterms:modified>
</cp:coreProperties>
</file>